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C2D" w:rsidRPr="008D2C2D" w:rsidRDefault="008D2C2D" w:rsidP="008D2C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5  ПРАКТИЧЕСКАЯ</w:t>
      </w:r>
      <w:r w:rsidRPr="008D2C2D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РАБОТА </w:t>
      </w:r>
    </w:p>
    <w:p w:rsidR="008D2C2D" w:rsidRPr="008D2C2D" w:rsidRDefault="008D2C2D" w:rsidP="008D2C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«РАСЧЕТ СРЕДНЕЙ СКОРОСТИ ТРАНСПОРТНОГО ПОТОКА</w:t>
      </w:r>
    </w:p>
    <w:p w:rsidR="008D2C2D" w:rsidRPr="008D2C2D" w:rsidRDefault="008D2C2D" w:rsidP="008D2C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НА ПЕРЕГОНЕ ГОРОДСКОЙ МАГИСТРАЛИ В УСЛОВИЯХ</w:t>
      </w:r>
    </w:p>
    <w:p w:rsidR="008D2C2D" w:rsidRPr="008D2C2D" w:rsidRDefault="008D2C2D" w:rsidP="008D2C2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СВЕТОФОРНОГО РЕГУЛИРОВАНИЯ ДВИЖЕНИЯ»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Цель: изучение методики определения и расчет средней скорости движения потока автомобилей по перегону УДС.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keepNext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5.1 Теоретические сведения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В условиях высокой интенсивности движения большое значение приобретает оценка транспортно-эксплутационных качеств автомобильной дороги с позиции пропуска потоков автомобилей. Расчет скоростей движения потоков автомобилей позволяет решать важные технико-экономические задачи, вопросы выбора средств и методов организации дорожного движения.</w:t>
      </w: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Иследованиями доказано, что закономерность изменения средней скорости потока автомобилей на отдельном элементе дороги в одном направлении  в зависимости от интенсивности движения  можно описать функцией вида: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position w:val="-18"/>
          <w:sz w:val="44"/>
          <w:szCs w:val="20"/>
          <w:lang w:val="en-US" w:eastAsia="ru-RU"/>
        </w:rPr>
        <w:object w:dxaOrig="7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26.25pt" o:ole="" fillcolor="window">
            <v:imagedata r:id="rId4" o:title=""/>
          </v:shape>
          <o:OLEObject Type="Embed" ProgID="Equation.3" ShapeID="_x0000_i1025" DrawAspect="Content" ObjectID="_1820873862" r:id="rId5"/>
        </w:objec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св 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- </w:t>
      </w:r>
      <w:r w:rsidRPr="008D2C2D">
        <w:rPr>
          <w:rFonts w:ascii="Times New Roman" w:eastAsia="Times New Roman" w:hAnsi="Times New Roman" w:cs="Times New Roman"/>
          <w:position w:val="-12"/>
          <w:sz w:val="44"/>
          <w:szCs w:val="20"/>
          <w:lang w:val="en-US" w:eastAsia="ru-RU"/>
        </w:rPr>
        <w:object w:dxaOrig="300" w:dyaOrig="360">
          <v:shape id="_x0000_i1026" type="#_x0000_t75" style="width:22.5pt;height:27pt" o:ole="" fillcolor="window">
            <v:imagedata r:id="rId6" o:title=""/>
          </v:shape>
          <o:OLEObject Type="Embed" ProgID="Equation.3" ShapeID="_x0000_i1026" DrawAspect="Content" ObjectID="_1820873863" r:id="rId7"/>
        </w:objec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Rα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N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пр</w:t>
      </w:r>
      <w:r w:rsidRPr="008D2C2D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ab/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0,1 &lt;</w:t>
      </w:r>
      <w:r w:rsidRPr="008D2C2D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Z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&lt;0,85           (5.1)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                         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св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=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γθV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0                                    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(5.2)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св –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скорость свободного движения автомобилей в определенных дорожных условиях, км\ч;</w:t>
      </w:r>
    </w:p>
    <w:p w:rsidR="008D2C2D" w:rsidRPr="008D2C2D" w:rsidRDefault="008D2C2D" w:rsidP="008D2C2D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  <w:r w:rsidRPr="008D2C2D">
        <w:rPr>
          <w:rFonts w:ascii="Times New Roman" w:eastAsia="Times New Roman" w:hAnsi="Times New Roman" w:cs="Times New Roman"/>
          <w:sz w:val="40"/>
          <w:szCs w:val="20"/>
          <w:lang w:val="en-US" w:eastAsia="ru-RU"/>
        </w:rPr>
        <w:t>γ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средневзвешенное влияние состояния дорожного покрытия на V</w:t>
      </w:r>
      <w:r w:rsidRPr="008D2C2D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п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в зависимости от погодных условий;</w:t>
      </w:r>
    </w:p>
    <w:p w:rsidR="008D2C2D" w:rsidRPr="008D2C2D" w:rsidRDefault="008D2C2D" w:rsidP="008D2C2D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θ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влияние геометрических элементов дороги, состава потока и средств организации движения;</w:t>
      </w:r>
    </w:p>
    <w:p w:rsidR="008D2C2D" w:rsidRPr="008D2C2D" w:rsidRDefault="008D2C2D" w:rsidP="008D2C2D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V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0</w:t>
      </w:r>
      <w:r w:rsidRPr="008D2C2D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средняя скорость свободного движения однородного потока, состоящих из легковых автомобилей на прямолинейном горизонтальном участке восьмиполосной городской магистрали непрерывного движения (рекомендовано принимать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0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70 км\ч;</w:t>
      </w:r>
    </w:p>
    <w:p w:rsidR="008D2C2D" w:rsidRPr="008D2C2D" w:rsidRDefault="008D2C2D" w:rsidP="008D2C2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position w:val="-12"/>
          <w:sz w:val="36"/>
          <w:szCs w:val="20"/>
          <w:lang w:eastAsia="ru-RU"/>
        </w:rPr>
        <w:object w:dxaOrig="300" w:dyaOrig="360">
          <v:shape id="_x0000_i1027" type="#_x0000_t75" style="width:21.75pt;height:26.25pt" o:ole="" fillcolor="window">
            <v:imagedata r:id="rId8" o:title=""/>
          </v:shape>
          <o:OLEObject Type="Embed" ProgID="Equation.3" ShapeID="_x0000_i1027" DrawAspect="Content" ObjectID="_1820873864" r:id="rId9"/>
        </w:objec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- коэффициент, учитывающий долю легковых автомобилей в составе потока;</w:t>
      </w:r>
    </w:p>
    <w:p w:rsidR="008D2C2D" w:rsidRPr="008D2C2D" w:rsidRDefault="008D2C2D" w:rsidP="008D2C2D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Rα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наличие дорожной разметки:</w:t>
      </w:r>
    </w:p>
    <w:p w:rsidR="008D2C2D" w:rsidRPr="008D2C2D" w:rsidRDefault="008D2C2D" w:rsidP="008D2C2D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N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пр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приведенная интенсивность движения, ед/час</w:t>
      </w: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Значения коэффициентов, входящих в формулы (5.1) и (5.2), определяют следующим образом:</w:t>
      </w:r>
    </w:p>
    <w:p w:rsidR="008D2C2D" w:rsidRPr="008D2C2D" w:rsidRDefault="008D2C2D" w:rsidP="008D2C2D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48"/>
          <w:szCs w:val="20"/>
          <w:lang w:val="en-US" w:eastAsia="ru-RU"/>
        </w:rPr>
        <w:t>γ</w:t>
      </w:r>
      <w:r w:rsidRPr="008D2C2D">
        <w:rPr>
          <w:rFonts w:ascii="Times New Roman" w:eastAsia="Times New Roman" w:hAnsi="Times New Roman" w:cs="Times New Roman"/>
          <w:sz w:val="48"/>
          <w:szCs w:val="20"/>
          <w:lang w:eastAsia="ru-RU"/>
        </w:rPr>
        <w:t xml:space="preserve"> = </w:t>
      </w:r>
      <w:r w:rsidRPr="008D2C2D">
        <w:rPr>
          <w:rFonts w:ascii="Times New Roman" w:eastAsia="Times New Roman" w:hAnsi="Times New Roman" w:cs="Times New Roman"/>
          <w:position w:val="-44"/>
          <w:sz w:val="48"/>
          <w:szCs w:val="20"/>
          <w:lang w:val="en-US" w:eastAsia="ru-RU"/>
        </w:rPr>
        <w:object w:dxaOrig="4380" w:dyaOrig="980">
          <v:shape id="_x0000_i1028" type="#_x0000_t75" style="width:219pt;height:48.75pt" o:ole="" fillcolor="window">
            <v:imagedata r:id="rId10" o:title=""/>
          </v:shape>
          <o:OLEObject Type="Embed" ProgID="Equation.3" ShapeID="_x0000_i1028" DrawAspect="Content" ObjectID="_1820873865" r:id="rId11"/>
        </w:object>
      </w:r>
      <w:r w:rsidRPr="008D2C2D">
        <w:rPr>
          <w:rFonts w:ascii="Times New Roman" w:eastAsia="Times New Roman" w:hAnsi="Times New Roman" w:cs="Times New Roman"/>
          <w:sz w:val="48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52"/>
          <w:szCs w:val="20"/>
          <w:lang w:eastAsia="ru-RU"/>
        </w:rPr>
        <w:t xml:space="preserve">  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(5.3)</w:t>
      </w:r>
    </w:p>
    <w:p w:rsidR="008D2C2D" w:rsidRPr="008D2C2D" w:rsidRDefault="008D2C2D" w:rsidP="008D2C2D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left="2410" w:hanging="24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соответственно число дней эксплуатации с гололедом, влажным покрытием, снежным покровом на проезжей части </w:t>
      </w:r>
    </w:p>
    <w:p w:rsidR="008D2C2D" w:rsidRPr="008D2C2D" w:rsidRDefault="008D2C2D" w:rsidP="008D2C2D">
      <w:pPr>
        <w:spacing w:after="0" w:line="240" w:lineRule="auto"/>
        <w:ind w:left="2410" w:hanging="24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и сухим покрытием (определяют по климатическим справочникам);</w:t>
      </w:r>
    </w:p>
    <w:p w:rsidR="008D2C2D" w:rsidRPr="008D2C2D" w:rsidRDefault="008D2C2D" w:rsidP="008D2C2D">
      <w:pPr>
        <w:spacing w:after="0" w:line="240" w:lineRule="auto"/>
        <w:ind w:left="2410" w:hanging="1843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 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 снижения скоростей соответственно при гололеде (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=0,45), влажном покрытии (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=0,85), снежном покрове (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=0,8) и сухом состоянии проезжей части (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=1,0).</w:t>
      </w:r>
    </w:p>
    <w:p w:rsidR="008D2C2D" w:rsidRPr="008D2C2D" w:rsidRDefault="008D2C2D" w:rsidP="008D2C2D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    </w:t>
      </w:r>
      <w:r w:rsidRPr="008D2C2D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θ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=τ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1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2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3                                                                 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(5.4)</w:t>
      </w:r>
    </w:p>
    <w:p w:rsidR="008D2C2D" w:rsidRPr="008D2C2D" w:rsidRDefault="008D2C2D" w:rsidP="008D2C2D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40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где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1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– коэффициент, учитывающий влияние продольного уклона (таблица 5.1)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5.1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2"/>
        <w:gridCol w:w="968"/>
        <w:gridCol w:w="968"/>
        <w:gridCol w:w="968"/>
        <w:gridCol w:w="969"/>
        <w:gridCol w:w="968"/>
        <w:gridCol w:w="968"/>
        <w:gridCol w:w="968"/>
        <w:gridCol w:w="823"/>
      </w:tblGrid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371"/>
        </w:trPr>
        <w:tc>
          <w:tcPr>
            <w:tcW w:w="1472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Уклон, ‰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</w:t>
            </w:r>
          </w:p>
        </w:tc>
        <w:tc>
          <w:tcPr>
            <w:tcW w:w="969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82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80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1472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44"/>
                <w:szCs w:val="20"/>
                <w:lang w:eastAsia="ru-RU"/>
              </w:rPr>
              <w:t>τ</w:t>
            </w:r>
            <w:r w:rsidRPr="008D2C2D">
              <w:rPr>
                <w:rFonts w:ascii="Times New Roman" w:eastAsia="Times New Roman" w:hAnsi="Times New Roman" w:cs="Times New Roman"/>
                <w:sz w:val="44"/>
                <w:szCs w:val="20"/>
                <w:vertAlign w:val="subscript"/>
                <w:lang w:eastAsia="ru-RU"/>
              </w:rPr>
              <w:t>1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0,92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0,84</w:t>
            </w:r>
          </w:p>
        </w:tc>
        <w:tc>
          <w:tcPr>
            <w:tcW w:w="969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0,76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0,68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0,56</w:t>
            </w:r>
          </w:p>
        </w:tc>
        <w:tc>
          <w:tcPr>
            <w:tcW w:w="9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0,45</w:t>
            </w:r>
          </w:p>
        </w:tc>
        <w:tc>
          <w:tcPr>
            <w:tcW w:w="82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0,34</w:t>
            </w:r>
          </w:p>
        </w:tc>
      </w:tr>
    </w:tbl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2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– коэффициент, учитывающий влияние состава транспортного потока на скорость свободного движения (таблица 5.2).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5.2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750"/>
        <w:gridCol w:w="1163"/>
        <w:gridCol w:w="1163"/>
        <w:gridCol w:w="1163"/>
        <w:gridCol w:w="1163"/>
        <w:gridCol w:w="1163"/>
        <w:gridCol w:w="1039"/>
      </w:tblGrid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1297"/>
        </w:trPr>
        <w:tc>
          <w:tcPr>
            <w:tcW w:w="14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Доля легковых автомобилей  в потоке Р, %</w:t>
            </w:r>
          </w:p>
        </w:tc>
        <w:tc>
          <w:tcPr>
            <w:tcW w:w="750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039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586"/>
        </w:trPr>
        <w:tc>
          <w:tcPr>
            <w:tcW w:w="14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44"/>
                <w:szCs w:val="20"/>
                <w:lang w:eastAsia="ru-RU"/>
              </w:rPr>
              <w:t>τ</w:t>
            </w:r>
            <w:r w:rsidRPr="008D2C2D">
              <w:rPr>
                <w:rFonts w:ascii="Times New Roman" w:eastAsia="Times New Roman" w:hAnsi="Times New Roman" w:cs="Times New Roman"/>
                <w:sz w:val="44"/>
                <w:szCs w:val="20"/>
                <w:vertAlign w:val="subscript"/>
                <w:lang w:eastAsia="ru-RU"/>
              </w:rPr>
              <w:t>2</w:t>
            </w:r>
          </w:p>
        </w:tc>
        <w:tc>
          <w:tcPr>
            <w:tcW w:w="750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0,78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163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0,67</w:t>
            </w:r>
          </w:p>
        </w:tc>
        <w:tc>
          <w:tcPr>
            <w:tcW w:w="1039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0,62</w:t>
            </w:r>
          </w:p>
        </w:tc>
      </w:tr>
    </w:tbl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lastRenderedPageBreak/>
        <w:t>τ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3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влияние дорожных условий и средств ОДД на скорость свободного движения (таблица 5.3).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5.3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4"/>
        <w:gridCol w:w="1205"/>
        <w:gridCol w:w="1206"/>
        <w:gridCol w:w="1205"/>
        <w:gridCol w:w="1206"/>
        <w:gridCol w:w="1206"/>
        <w:gridCol w:w="1168"/>
      </w:tblGrid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332"/>
        </w:trPr>
        <w:tc>
          <w:tcPr>
            <w:tcW w:w="2004" w:type="dxa"/>
            <w:vMerge w:val="restart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Тип разметки</w:t>
            </w:r>
          </w:p>
        </w:tc>
        <w:tc>
          <w:tcPr>
            <w:tcW w:w="6028" w:type="dxa"/>
            <w:gridSpan w:val="5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τ</w:t>
            </w: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  <w:t xml:space="preserve">3 </w:t>
            </w:r>
            <w:r w:rsidRPr="008D2C2D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t>при ширине проезжей части, м</w:t>
            </w:r>
          </w:p>
        </w:tc>
        <w:tc>
          <w:tcPr>
            <w:tcW w:w="1168" w:type="dxa"/>
            <w:vMerge w:val="restart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R</w:t>
            </w:r>
            <w:r w:rsidRPr="008D2C2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α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133"/>
        </w:trPr>
        <w:tc>
          <w:tcPr>
            <w:tcW w:w="2004" w:type="dxa"/>
            <w:vMerge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7,5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10,5</w:t>
            </w:r>
          </w:p>
        </w:tc>
        <w:tc>
          <w:tcPr>
            <w:tcW w:w="1168" w:type="dxa"/>
            <w:vMerge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2004" w:type="dxa"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без разметки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1,05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</w:t>
            </w:r>
          </w:p>
        </w:tc>
        <w:tc>
          <w:tcPr>
            <w:tcW w:w="11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665"/>
        </w:trPr>
        <w:tc>
          <w:tcPr>
            <w:tcW w:w="2004" w:type="dxa"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краевая разметка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0,64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0,87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0,98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1,08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1,15</w:t>
            </w:r>
          </w:p>
        </w:tc>
        <w:tc>
          <w:tcPr>
            <w:tcW w:w="11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0,82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665"/>
        </w:trPr>
        <w:tc>
          <w:tcPr>
            <w:tcW w:w="2004" w:type="dxa"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осевая прерывистая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0,68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0,89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1,05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1,10</w:t>
            </w:r>
          </w:p>
        </w:tc>
        <w:tc>
          <w:tcPr>
            <w:tcW w:w="11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0,76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1330"/>
        </w:trPr>
        <w:tc>
          <w:tcPr>
            <w:tcW w:w="2004" w:type="dxa"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осевая прерывистая в сочетании с краевой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0,55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0,74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0,92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1,08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1,15</w:t>
            </w:r>
          </w:p>
        </w:tc>
        <w:tc>
          <w:tcPr>
            <w:tcW w:w="11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997"/>
        </w:trPr>
        <w:tc>
          <w:tcPr>
            <w:tcW w:w="2004" w:type="dxa"/>
          </w:tcPr>
          <w:p w:rsidR="008D2C2D" w:rsidRPr="008D2C2D" w:rsidRDefault="008D2C2D" w:rsidP="008D2C2D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сплошная разделительная линия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0,59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205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1,04</w:t>
            </w:r>
          </w:p>
        </w:tc>
        <w:tc>
          <w:tcPr>
            <w:tcW w:w="120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</w:t>
            </w:r>
          </w:p>
        </w:tc>
        <w:tc>
          <w:tcPr>
            <w:tcW w:w="116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0,62</w:t>
            </w:r>
          </w:p>
        </w:tc>
      </w:tr>
    </w:tbl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Значение коэффициентов </w:t>
      </w:r>
      <w:r w:rsidRPr="008D2C2D">
        <w:rPr>
          <w:rFonts w:ascii="Times New Roman" w:eastAsia="Times New Roman" w:hAnsi="Times New Roman" w:cs="Times New Roman"/>
          <w:position w:val="-12"/>
          <w:sz w:val="44"/>
          <w:szCs w:val="20"/>
          <w:lang w:eastAsia="ru-RU"/>
        </w:rPr>
        <w:object w:dxaOrig="300" w:dyaOrig="360">
          <v:shape id="_x0000_i1029" type="#_x0000_t75" style="width:21.75pt;height:26.25pt" o:ole="" fillcolor="window">
            <v:imagedata r:id="rId8" o:title=""/>
          </v:shape>
          <o:OLEObject Type="Embed" ProgID="Equation.3" ShapeID="_x0000_i1029" DrawAspect="Content" ObjectID="_1820873866" r:id="rId12"/>
        </w:objec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в практических расчетах принимают следующими:</w:t>
      </w:r>
    </w:p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1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1186"/>
        <w:gridCol w:w="1186"/>
        <w:gridCol w:w="1186"/>
        <w:gridCol w:w="1186"/>
        <w:gridCol w:w="1186"/>
        <w:gridCol w:w="1186"/>
        <w:gridCol w:w="994"/>
      </w:tblGrid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07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Р, %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994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1078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position w:val="-12"/>
                <w:sz w:val="44"/>
                <w:szCs w:val="20"/>
                <w:lang w:eastAsia="ru-RU"/>
              </w:rPr>
              <w:object w:dxaOrig="300" w:dyaOrig="360">
                <v:shape id="_x0000_i1030" type="#_x0000_t75" style="width:21.75pt;height:26.25pt" o:ole="" fillcolor="window">
                  <v:imagedata r:id="rId8" o:title=""/>
                </v:shape>
                <o:OLEObject Type="Embed" ProgID="Equation.3" ShapeID="_x0000_i1030" DrawAspect="Content" ObjectID="_1820873867" r:id="rId13"/>
              </w:objec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0,02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0,018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0,016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0,013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0,012</w:t>
            </w:r>
          </w:p>
        </w:tc>
        <w:tc>
          <w:tcPr>
            <w:tcW w:w="1186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0,010</w:t>
            </w:r>
          </w:p>
        </w:tc>
        <w:tc>
          <w:tcPr>
            <w:tcW w:w="994" w:type="dxa"/>
            <w:vAlign w:val="center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0,007</w:t>
            </w:r>
          </w:p>
        </w:tc>
      </w:tr>
    </w:tbl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Приведенный расчетный метод эффективен для решения полного комплекса задач, требующих оценки скоростей потоков автомобилей по элементарным участкам с меняющимися дорожными условиями, т.е. для решения круга задач технико-экономического проектирования дорог и организации движения.</w:t>
      </w: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keepNext/>
        <w:spacing w:after="0" w:line="240" w:lineRule="auto"/>
        <w:ind w:left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5.2 Порядок  выполнения работы</w:t>
      </w:r>
    </w:p>
    <w:p w:rsidR="008D2C2D" w:rsidRPr="008D2C2D" w:rsidRDefault="008D2C2D" w:rsidP="008D2C2D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Подсчет интенсивности движения и определения состава транспортного потока проводится на перегонах городских улиц. Для этого выбирается участок не ближе 200 – </w:t>
      </w:r>
      <w:smartTag w:uri="urn:schemas-microsoft-com:office:smarttags" w:element="metricconverter">
        <w:smartTagPr>
          <w:attr w:name="ProductID" w:val="300 м"/>
        </w:smartTagPr>
        <w:r w:rsidRPr="008D2C2D">
          <w:rPr>
            <w:rFonts w:ascii="Times New Roman" w:eastAsia="Times New Roman" w:hAnsi="Times New Roman" w:cs="Times New Roman"/>
            <w:sz w:val="28"/>
            <w:szCs w:val="20"/>
            <w:lang w:eastAsia="ru-RU"/>
          </w:rPr>
          <w:t>300 м</w:t>
        </w:r>
      </w:smartTag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 регулируемых перекрестков, где наблюдается установившееся движение транспортных средств.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5.2.1  Подсчитать количество транспортных средств различных типов. Результаты занести в протокол  5.1.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Протокол  5.1 подсчета интенсивности и состава транспортного потока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Улица _______________________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Участок ________________________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Направление ________________________________________________________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Число полос в каждом направлении ____________________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Дата и время __________________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Схематическое изображение перегона с указанием перекрестков между которыми он расположен, направления и разметки.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Данные по составу транспортного потока вносятся в таблицу:</w:t>
      </w:r>
    </w:p>
    <w:p w:rsidR="008D2C2D" w:rsidRPr="008D2C2D" w:rsidRDefault="008D2C2D" w:rsidP="008D2C2D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559"/>
        <w:gridCol w:w="1228"/>
        <w:gridCol w:w="1040"/>
        <w:gridCol w:w="992"/>
        <w:gridCol w:w="1134"/>
        <w:gridCol w:w="1168"/>
      </w:tblGrid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372"/>
        </w:trPr>
        <w:tc>
          <w:tcPr>
            <w:tcW w:w="3227" w:type="dxa"/>
            <w:gridSpan w:val="2"/>
            <w:vMerge w:val="restart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4394" w:type="dxa"/>
            <w:gridSpan w:val="4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Количество и типы ТС</w:t>
            </w:r>
          </w:p>
        </w:tc>
        <w:tc>
          <w:tcPr>
            <w:tcW w:w="1168" w:type="dxa"/>
            <w:vMerge w:val="restart"/>
          </w:tcPr>
          <w:p w:rsidR="008D2C2D" w:rsidRPr="008D2C2D" w:rsidRDefault="008D2C2D" w:rsidP="008D2C2D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N</w:t>
            </w: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  <w:t>пр</w:t>
            </w: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 ед/час</w:t>
            </w: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149"/>
        </w:trPr>
        <w:tc>
          <w:tcPr>
            <w:tcW w:w="3227" w:type="dxa"/>
            <w:gridSpan w:val="2"/>
            <w:vMerge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22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Легко-вые</w:t>
            </w:r>
          </w:p>
        </w:tc>
        <w:tc>
          <w:tcPr>
            <w:tcW w:w="1040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Грузо-вые</w:t>
            </w:r>
          </w:p>
        </w:tc>
        <w:tc>
          <w:tcPr>
            <w:tcW w:w="992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Авто-бусы</w:t>
            </w:r>
          </w:p>
        </w:tc>
        <w:tc>
          <w:tcPr>
            <w:tcW w:w="1134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Авто-поезда</w:t>
            </w:r>
          </w:p>
        </w:tc>
        <w:tc>
          <w:tcPr>
            <w:tcW w:w="1168" w:type="dxa"/>
            <w:vMerge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668" w:type="dxa"/>
            <w:vMerge w:val="restart"/>
            <w:textDirection w:val="btLr"/>
          </w:tcPr>
          <w:p w:rsidR="008D2C2D" w:rsidRPr="008D2C2D" w:rsidRDefault="008D2C2D" w:rsidP="008D2C2D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пря-мом направлении</w:t>
            </w:r>
          </w:p>
        </w:tc>
        <w:tc>
          <w:tcPr>
            <w:tcW w:w="1559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15 мин</w:t>
            </w:r>
          </w:p>
        </w:tc>
        <w:tc>
          <w:tcPr>
            <w:tcW w:w="122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1668" w:type="dxa"/>
            <w:vMerge/>
            <w:textDirection w:val="btLr"/>
          </w:tcPr>
          <w:p w:rsidR="008D2C2D" w:rsidRPr="008D2C2D" w:rsidRDefault="008D2C2D" w:rsidP="008D2C2D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 час</w:t>
            </w:r>
          </w:p>
        </w:tc>
        <w:tc>
          <w:tcPr>
            <w:tcW w:w="122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1668" w:type="dxa"/>
            <w:vMerge w:val="restart"/>
            <w:textDirection w:val="btLr"/>
          </w:tcPr>
          <w:p w:rsidR="008D2C2D" w:rsidRPr="008D2C2D" w:rsidRDefault="008D2C2D" w:rsidP="008D2C2D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об-ратном направлении</w:t>
            </w:r>
          </w:p>
        </w:tc>
        <w:tc>
          <w:tcPr>
            <w:tcW w:w="1559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15 мин</w:t>
            </w:r>
          </w:p>
        </w:tc>
        <w:tc>
          <w:tcPr>
            <w:tcW w:w="122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8D2C2D" w:rsidRPr="008D2C2D" w:rsidTr="00F450D8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1668" w:type="dxa"/>
            <w:vMerge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8D2C2D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 час</w:t>
            </w:r>
          </w:p>
        </w:tc>
        <w:tc>
          <w:tcPr>
            <w:tcW w:w="122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8D2C2D" w:rsidRPr="008D2C2D" w:rsidRDefault="008D2C2D" w:rsidP="008D2C2D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8D2C2D" w:rsidRPr="008D2C2D" w:rsidRDefault="008D2C2D" w:rsidP="008D2C2D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5.2.3  Рассчитать долю легковых автомобилей в транспортном потоке по формуле (5.6).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                      Р = </w:t>
      </w:r>
      <w:r w:rsidRPr="008D2C2D">
        <w:rPr>
          <w:rFonts w:ascii="Times New Roman" w:eastAsia="Times New Roman" w:hAnsi="Times New Roman" w:cs="Times New Roman"/>
          <w:position w:val="-60"/>
          <w:sz w:val="36"/>
          <w:szCs w:val="20"/>
          <w:lang w:eastAsia="ru-RU"/>
        </w:rPr>
        <w:object w:dxaOrig="2060" w:dyaOrig="1140">
          <v:shape id="_x0000_i1031" type="#_x0000_t75" style="width:102.75pt;height:57pt" o:ole="" fillcolor="window">
            <v:imagedata r:id="rId14" o:title=""/>
          </v:shape>
          <o:OLEObject Type="Embed" ProgID="Equation.3" ShapeID="_x0000_i1031" DrawAspect="Content" ObjectID="_1820873868" r:id="rId15"/>
        </w:objec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                              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(5.6)</w:t>
      </w: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8D2C2D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N</w:t>
      </w:r>
      <w:r w:rsidRPr="008D2C2D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ф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интенсивность движения в физических единицах, авт/час.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5.2.4  Рассчитать коэффициенты 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γ,θ,</w:t>
      </w:r>
      <w:r w:rsidRPr="008D2C2D">
        <w:rPr>
          <w:rFonts w:ascii="Times New Roman" w:eastAsia="Times New Roman" w:hAnsi="Times New Roman" w:cs="Times New Roman"/>
          <w:position w:val="-12"/>
          <w:sz w:val="44"/>
          <w:szCs w:val="20"/>
          <w:lang w:eastAsia="ru-RU"/>
        </w:rPr>
        <w:object w:dxaOrig="300" w:dyaOrig="360">
          <v:shape id="_x0000_i1032" type="#_x0000_t75" style="width:22.5pt;height:27pt" o:ole="" fillcolor="window">
            <v:imagedata r:id="rId6" o:title=""/>
          </v:shape>
          <o:OLEObject Type="Embed" ProgID="Equation.3" ShapeID="_x0000_i1032" DrawAspect="Content" ObjectID="_1820873869" r:id="rId16"/>
        </w:objec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, Rα</w:t>
      </w:r>
      <w:r w:rsidRPr="008D2C2D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 </w:t>
      </w: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определить среднюю скорость транспортного потока </w:t>
      </w:r>
      <w:r w:rsidRPr="008D2C2D">
        <w:rPr>
          <w:rFonts w:ascii="Times New Roman" w:eastAsia="Times New Roman" w:hAnsi="Times New Roman" w:cs="Times New Roman"/>
          <w:sz w:val="44"/>
          <w:szCs w:val="20"/>
          <w:lang w:eastAsia="ru-RU"/>
        </w:rPr>
        <w:t>V</w:t>
      </w:r>
      <w:r w:rsidRPr="008D2C2D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п</w:t>
      </w:r>
      <w:r w:rsidRPr="008D2C2D">
        <w:rPr>
          <w:rFonts w:ascii="Times New Roman" w:eastAsia="Times New Roman" w:hAnsi="Times New Roman" w:cs="Times New Roman"/>
          <w:sz w:val="36"/>
          <w:szCs w:val="20"/>
          <w:lang w:eastAsia="ru-RU"/>
        </w:rPr>
        <w:t>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5.2.5  По результатам вычислений оформить отчет.</w:t>
      </w:r>
    </w:p>
    <w:p w:rsidR="008D2C2D" w:rsidRPr="008D2C2D" w:rsidRDefault="008D2C2D" w:rsidP="008D2C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D2C2D" w:rsidRPr="008D2C2D" w:rsidRDefault="008D2C2D" w:rsidP="008D2C2D">
      <w:pPr>
        <w:keepNext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5.4 Контрольные вопросы</w:t>
      </w:r>
    </w:p>
    <w:p w:rsidR="008D2C2D" w:rsidRPr="008D2C2D" w:rsidRDefault="008D2C2D" w:rsidP="008D2C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1 Категории дорог.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2 Виды скоростей.</w:t>
      </w:r>
    </w:p>
    <w:p w:rsidR="008D2C2D" w:rsidRPr="008D2C2D" w:rsidRDefault="008D2C2D" w:rsidP="008D2C2D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3 Факторы, влияющие на работу и состояние дороги.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4 Основные транспортно-эксплутационные показатели автомобильной дороги.</w:t>
      </w:r>
    </w:p>
    <w:p w:rsidR="008D2C2D" w:rsidRPr="008D2C2D" w:rsidRDefault="008D2C2D" w:rsidP="008D2C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2C2D">
        <w:rPr>
          <w:rFonts w:ascii="Times New Roman" w:eastAsia="Times New Roman" w:hAnsi="Times New Roman" w:cs="Times New Roman"/>
          <w:sz w:val="28"/>
          <w:szCs w:val="20"/>
          <w:lang w:eastAsia="ru-RU"/>
        </w:rPr>
        <w:t>5 Качественные состояния потока автомобилей.</w:t>
      </w:r>
    </w:p>
    <w:p w:rsidR="00960BDD" w:rsidRDefault="00960BDD">
      <w:bookmarkStart w:id="0" w:name="_GoBack"/>
      <w:bookmarkEnd w:id="0"/>
    </w:p>
    <w:sectPr w:rsidR="00960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35A"/>
    <w:rsid w:val="008D2C2D"/>
    <w:rsid w:val="00960BDD"/>
    <w:rsid w:val="00C93E90"/>
    <w:rsid w:val="00E4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E93F83-010A-471A-9A70-8178E2F3F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2025-10-01T20:31:00Z</dcterms:created>
  <dcterms:modified xsi:type="dcterms:W3CDTF">2025-10-01T20:31:00Z</dcterms:modified>
</cp:coreProperties>
</file>